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26-341</w:t>
      </w:r>
    </w:p>
    <w:p>
      <w:pPr>
        <w:spacing w:before="0" w:after="0" w:line="480"/>
        <w:ind w:left="120"/>
        <w:jc w:val="left"/>
      </w:pPr>
    </w:p>
    <w:p>
      <w:pPr>
        <w:spacing w:before="0" w:after="0" w:line="480"/>
        <w:ind w:left="120"/>
        <w:jc w:val="center"/>
      </w:pPr>
      <w:r>
        <w:rPr>
          <w:rFonts w:ascii="Times New Roman" w:hAnsi="Times New Roman"/>
          <w:b/>
          <w:i w:val="false"/>
          <w:color w:val="000000"/>
          <w:sz w:val="28"/>
        </w:rPr>
        <w:t>WORKERS’ COMPENSATION DIVISION[876]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876—Chapter 10</w:t>
      </w:r>
    </w:p>
    <w:p>
      <w:pPr>
        <w:spacing w:before="0" w:after="0" w:line="480"/>
        <w:ind w:left="120"/>
        <w:jc w:val="center"/>
      </w:pPr>
      <w:r>
        <w:rPr>
          <w:rFonts w:ascii="Times New Roman" w:hAnsi="Times New Roman"/>
          <w:b w:val="false"/>
          <w:i w:val="false"/>
          <w:color w:val="000000"/>
          <w:sz w:val="24"/>
        </w:rPr>
        <w:t>“Informal Dispute Resolution Procedures”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10A.310(1)“a,” 17A and Executive Order 10</w:t>
      </w:r>
    </w:p>
    <w:p>
      <w:pPr>
        <w:spacing w:before="0" w:after="0" w:line="480"/>
        <w:ind w:left="120"/>
        <w:jc w:val="both"/>
      </w:pPr>
      <w:r>
        <w:rPr>
          <w:rFonts w:ascii="Times New Roman" w:hAnsi="Times New Roman"/>
          <w:b w:val="false"/>
          <w:i w:val="false"/>
          <w:color w:val="000000"/>
          <w:sz w:val="24"/>
        </w:rPr>
        <w:t>State or federal law(s) implemented by the rulemaking: Iowa Code chapters 10A, 17A and 85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1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dial-iowa-gov.zoom.us/j/81654334225?pwd=5JUj7K10vOhVPFGUp2QWlyI2imRXx9.1</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Workers’ Compensation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William Grell</w:t>
            </w:r>
            <w:r>
              <w:br/>
            </w:r>
            <w:r>
              <w:rPr>
                <w:rFonts w:ascii="Times New Roman" w:hAnsi="Times New Roman"/>
                <w:b w:val="false"/>
                <w:i w:val="false"/>
                <w:color w:val="000000"/>
                <w:sz w:val="14"/>
              </w:rPr>
              <w:t>Department of Inspections, Appeals, and Licensing</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515.829.5993</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william.grell@dia.iowa.gov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10 provides procedures for the agency to assist in adjudicating health service disputes. Iowa Code section 85.27(3) allows for an employer, insurance carrier, or health service provider to refer charges believed to be excessive or unnecessary to the agency for informal dispute resolution procedures “established by rule by the commissioner.” This chapter establishes the procedures that govern the informal resolution of these health service disputes pursuant to the statutory mandate.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direct costs associated with the proposed repromulgation of this chapter. There are costs associated with the review since the chapter notes, “The costs of the person making the review shall be paid as mutually agreed by the provider and the responsible party.” If there is no agreement, then whoever bears the costs may change. Nevertheless, there is no direct, defined cost.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Health providers, employers, insurers, and their associated counsel all benefit from resolving health service disputes. Additionally, if these disputes are resolved, the injured worker also derives a tertiary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costs to the Division to implement or enforce this chapter involve regular employee salaries and benefits.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proposed changes to the budget, nor is there an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associated with this rulemaking allow for the essential functioning of the Division and of the workers’ compensation system in the State of Iowa. The costs also are necessary to implement Iowa law. Inaction would allow the chapter to expire.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do not appear to be any less costly or intrusive methods for achieving the purpose of the proposed repromulgation of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agency has not identified any viable alternatives to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agency has not identified any viable alternatives to these rules.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 caused by this rulemaking.</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876—Chapter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INFORMAL DISPUTE RESOLUTION PROCEDURES</w:t>
      </w:r>
    </w:p>
    <w:p>
      <w:pPr>
        <w:spacing w:before="0" w:after="0" w:line="480"/>
        <w:ind w:left="120"/>
        <w:jc w:val="both"/>
      </w:pPr>
      <w:r>
        <w:rPr>
          <w:rFonts w:ascii="Times New Roman" w:hAnsi="Times New Roman"/>
          <w:b/>
          <w:i w:val="false"/>
          <w:color w:val="000000"/>
          <w:sz w:val="24"/>
        </w:rPr>
        <w:t>876—10.1</w:t>
      </w:r>
      <w:r>
        <w:rPr>
          <w:rFonts w:ascii="Times New Roman" w:hAnsi="Times New Roman"/>
          <w:b/>
          <w:i w:val="false"/>
          <w:color w:val="000000"/>
          <w:sz w:val="24"/>
        </w:rPr>
        <w:t xml:space="preserve">(17A,85,86) </w:t>
      </w:r>
      <w:r>
        <w:rPr>
          <w:rFonts w:ascii="Times New Roman" w:hAnsi="Times New Roman"/>
          <w:b/>
          <w:i w:val="false"/>
          <w:color w:val="000000"/>
          <w:sz w:val="24"/>
        </w:rPr>
        <w:t xml:space="preserve">Health service dispute resolution.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purpose of this rule and rule </w:t>
      </w:r>
      <w:hyperlink r:id="rId6">
        <w:r>
          <w:rPr>
            <w:rStyle w:val="Hyperlink"/>
            <w:rFonts w:ascii="Times New Roman" w:hAnsi="Times New Roman"/>
            <w:b w:val="false"/>
            <w:i w:val="false"/>
            <w:color w:val="000000"/>
            <w:sz w:val="24"/>
          </w:rPr>
          <w:t>876—2506.64</w:t>
        </w:r>
      </w:hyperlink>
      <w:r>
        <w:rPr>
          <w:rFonts w:ascii="Times New Roman" w:hAnsi="Times New Roman"/>
          <w:b w:val="false"/>
          <w:i w:val="false"/>
          <w:color w:val="000000"/>
          <w:sz w:val="24"/>
        </w:rPr>
        <w:t xml:space="preserve">(10A,17A,85) is to establish the procedures for resolving a dispute under Iowa Code section </w:t>
      </w:r>
      <w:hyperlink r:id="rId7">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 xml:space="preserve"> between a provider and a responsible party over the treatment rendered by a provider to an injured worker. Utilization of these procedures by a responsible party is not an admission of liability for any other proceeding. This rule is effective October 7, 1992.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w:t>
      </w:r>
      <w:r>
        <w:rPr>
          <w:rFonts w:ascii="Times New Roman" w:hAnsi="Times New Roman"/>
          <w:b w:val="false"/>
          <w:i w:val="false"/>
          <w:color w:val="000000"/>
          <w:sz w:val="24"/>
        </w:rPr>
        <w:t> </w:t>
      </w:r>
      <w:r>
        <w:rPr>
          <w:rFonts w:ascii="Times New Roman" w:hAnsi="Times New Roman"/>
          <w:b w:val="false"/>
          <w:i w:val="false"/>
          <w:color w:val="000000"/>
          <w:sz w:val="24"/>
        </w:rPr>
        <w:t xml:space="preserve">Definitions. The following definitions apply to this rule and rule </w:t>
      </w:r>
      <w:hyperlink r:id="rId8">
        <w:r>
          <w:rPr>
            <w:rStyle w:val="Hyperlink"/>
            <w:rFonts w:ascii="Times New Roman" w:hAnsi="Times New Roman"/>
            <w:b w:val="false"/>
            <w:i w:val="false"/>
            <w:color w:val="000000"/>
            <w:sz w:val="24"/>
          </w:rPr>
          <w:t>876—2506.64</w:t>
        </w:r>
      </w:hyperlink>
      <w:r>
        <w:rPr>
          <w:rFonts w:ascii="Times New Roman" w:hAnsi="Times New Roman"/>
          <w:b w:val="false"/>
          <w:i w:val="false"/>
          <w:color w:val="000000"/>
          <w:sz w:val="24"/>
        </w:rPr>
        <w:t>(10A,17A,85).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“Dispute”</w:t>
      </w:r>
      <w:r>
        <w:rPr>
          <w:rFonts w:ascii="Times New Roman" w:hAnsi="Times New Roman"/>
          <w:b w:val="false"/>
          <w:i/>
          <w:color w:val="000000"/>
          <w:sz w:val="24"/>
          <w:u w:val="single"/>
        </w:rPr>
        <w:t> </w:t>
      </w:r>
      <w:r>
        <w:rPr>
          <w:rFonts w:ascii="Times New Roman" w:hAnsi="Times New Roman"/>
          <w:b w:val="false"/>
          <w:i w:val="false"/>
          <w:color w:val="000000"/>
          <w:sz w:val="24"/>
        </w:rPr>
        <w:t>means a disagreement between a provider and responsible party over the necessity of service or reasonableness of charges or both; or a disagreement between a provider and a responsible party over the necessity for or the reasonableness of charges for crutches, artificial members and appliances; and includes only those situations where liability or extent of liability is not an 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corporation, government or governmental subdivision or agency, business trust, estate, trust, partnership or association, or any other legal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w:t>
      </w:r>
      <w:r>
        <w:rPr>
          <w:rFonts w:ascii="Times New Roman" w:hAnsi="Times New Roman"/>
          <w:b w:val="false"/>
          <w:i/>
          <w:color w:val="000000"/>
          <w:sz w:val="24"/>
          <w:u w:val="single"/>
        </w:rPr>
        <w:t> </w:t>
      </w:r>
      <w:r>
        <w:rPr>
          <w:rFonts w:ascii="Times New Roman" w:hAnsi="Times New Roman"/>
          <w:b w:val="false"/>
          <w:i w:val="false"/>
          <w:color w:val="000000"/>
          <w:sz w:val="24"/>
        </w:rPr>
        <w:t>means any person furnishing surgical, medical, dental, osteopathic, chiropractic, podiatric, physical rehabilitation, nursing, ambulance, or hospital services and supplies; crutches; artificial members; and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“Responsible party”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person who is liable for payment of medical services provided pursuant to the Iowa workers’ compensation laws and includes an employer, an employer who has been relieved from insurance pursuant to Iowa Code section </w:t>
      </w:r>
      <w:hyperlink r:id="rId9">
        <w:r>
          <w:rPr>
            <w:rStyle w:val="Hyperlink"/>
            <w:rFonts w:ascii="Times New Roman" w:hAnsi="Times New Roman"/>
            <w:b w:val="false"/>
            <w:i w:val="false"/>
            <w:color w:val="000000"/>
            <w:sz w:val="24"/>
          </w:rPr>
          <w:t>87.11</w:t>
        </w:r>
      </w:hyperlink>
      <w:r>
        <w:rPr>
          <w:rFonts w:ascii="Times New Roman" w:hAnsi="Times New Roman"/>
          <w:b w:val="false"/>
          <w:i w:val="false"/>
          <w:color w:val="000000"/>
          <w:sz w:val="24"/>
        </w:rPr>
        <w:t>, and an insurance carrier that provides an employer workers’ compensation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“Workers’ compensation commissioner”</w:t>
      </w:r>
      <w:r>
        <w:rPr>
          <w:rFonts w:ascii="Times New Roman" w:hAnsi="Times New Roman"/>
          <w:b w:val="false"/>
          <w:i/>
          <w:color w:val="000000"/>
          <w:sz w:val="24"/>
          <w:u w:val="single"/>
        </w:rPr>
        <w:t> </w:t>
      </w:r>
      <w:r>
        <w:rPr>
          <w:rFonts w:ascii="Times New Roman" w:hAnsi="Times New Roman"/>
          <w:b w:val="false"/>
          <w:i w:val="false"/>
          <w:color w:val="000000"/>
          <w:sz w:val="24"/>
        </w:rPr>
        <w:t>means the workers’ compensation commissioner or the workers’ compensation commissioner’s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w:t>
      </w:r>
      <w:r>
        <w:rPr>
          <w:rFonts w:ascii="Times New Roman" w:hAnsi="Times New Roman"/>
          <w:b w:val="false"/>
          <w:i w:val="false"/>
          <w:color w:val="000000"/>
          <w:sz w:val="24"/>
        </w:rPr>
        <w:t> </w:t>
      </w:r>
      <w:r>
        <w:rPr>
          <w:rFonts w:ascii="Times New Roman" w:hAnsi="Times New Roman"/>
          <w:b w:val="false"/>
          <w:i w:val="false"/>
          <w:color w:val="000000"/>
          <w:sz w:val="24"/>
        </w:rPr>
        <w:t>Informal resolution of disputes.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charges not in controversy shall be paid to the provider prior to utilization of the procedures outlined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responsible party who refuses to pay the amount in controversy of a dispute shall give the provider written notice of the dispute within 60 days of receiving a bill with proper supporting documentation. The written notice shall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patient-employee;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of the employer on the date of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of the treatment in dispute;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amount charged for the treatment, the amount of the charge the responsible party agrees to pay, and the amount in dispute;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reason for belief that the bill is excessive or unnecessary and documentation relied upon to formulate the belief;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address to use in directing correspondence to the responsible party regarding the dispute;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provider’s right to utilize the procedures specified in this rule and rule </w:t>
      </w:r>
      <w:hyperlink r:id="rId10">
        <w:r>
          <w:rPr>
            <w:rStyle w:val="Hyperlink"/>
            <w:rFonts w:ascii="Times New Roman" w:hAnsi="Times New Roman"/>
            <w:b w:val="false"/>
            <w:i w:val="false"/>
            <w:color w:val="000000"/>
            <w:sz w:val="24"/>
          </w:rPr>
          <w:t>876—2506.64</w:t>
        </w:r>
      </w:hyperlink>
      <w:r>
        <w:rPr>
          <w:rFonts w:ascii="Times New Roman" w:hAnsi="Times New Roman"/>
          <w:b w:val="false"/>
          <w:i w:val="false"/>
          <w:color w:val="000000"/>
          <w:sz w:val="24"/>
        </w:rPr>
        <w:t xml:space="preserve"> (10A,17A,85);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paragraphs </w:t>
      </w:r>
      <w:hyperlink r:id="rId11">
        <w:r>
          <w:rPr>
            <w:rStyle w:val="Hyperlink"/>
            <w:rFonts w:ascii="Times New Roman" w:hAnsi="Times New Roman"/>
            <w:b w:val="false"/>
            <w:i w:val="false"/>
            <w:color w:val="000000"/>
            <w:sz w:val="24"/>
          </w:rPr>
          <w:t>10.1(3)</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876—subrule 2506.64(2)</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That the provider or the responsible party is prohibited by Iowa Code section </w:t>
      </w:r>
      <w:hyperlink r:id="rId13">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 xml:space="preserve"> from seeking payment from the injured worker when there is a dispute regarding reasonableness of a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provider agrees to accept the amount of the charge the responsible party has paid, the provider shall notify the responsible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provider does not agree to accept the amount of the charge the responsible party agrees to pay, the provider shall notify the responsible party in writing. The provider and the responsible party shall submit the dispute to a mutually agreed-upon person for review. The person reviewing the dispute under this rule will not be the workers’ compensation commissioner. If the provider and the responsible party cannot agree upon the person to make the review, they shall, within 90 days of time the provider notified the responsible party of the disagreement, each recommend to the workers’ compensation commissioner one person to do the review. The workers’ compensation commissioner may choose the person or persons recommended to make the review. A person other than the persons recommended may be chosen at the discretion of the workers’ compensation commissioner. The selected person or persons shall review information submitted by the provider and the responsible party and make a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person making the review shall make a determination of the amount that is reasonable and necessary. The determination shall be made as soon as practicable and shall be dated. It shall be in writing and specify the facts relied upon. The person making the review may choose any amount to set the reasonableness of a charge. If the person chosen to make the review does not make a determination within a reasonable time, that person may be discharged without being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Costs. The costs of the person making the review shall be paid as mutually agreed by the provider and the responsible party. In the event of no agreement, the costs shall be paid by whomever chose an amount further from the determination of the person reviewing the matter. If the amount is equally close to both parties, the costs shall be shared equally. However, if the workers’ compensation commissioner selects the person or persons to do the review, the costs shall be shared equally.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Nothing in this rule is intended to prevent providers and responsible parties from developing other procedures to informally resolve their disputes.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w:t>
      </w:r>
      <w:r>
        <w:rPr>
          <w:rFonts w:ascii="Times New Roman" w:hAnsi="Times New Roman"/>
          <w:b w:val="false"/>
          <w:i w:val="false"/>
          <w:color w:val="000000"/>
          <w:sz w:val="24"/>
        </w:rPr>
        <w:t> </w:t>
      </w:r>
      <w:r>
        <w:rPr>
          <w:rFonts w:ascii="Times New Roman" w:hAnsi="Times New Roman"/>
          <w:b w:val="false"/>
          <w:i w:val="false"/>
          <w:color w:val="000000"/>
          <w:sz w:val="24"/>
        </w:rPr>
        <w:t xml:space="preserve">Contested case procedures can be found in </w:t>
      </w:r>
      <w:hyperlink r:id="rId14">
        <w:r>
          <w:rPr>
            <w:rStyle w:val="Hyperlink"/>
            <w:rFonts w:ascii="Times New Roman" w:hAnsi="Times New Roman"/>
            <w:b w:val="false"/>
            <w:i w:val="false"/>
            <w:color w:val="000000"/>
            <w:sz w:val="24"/>
          </w:rPr>
          <w:t>876—Chapter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w:t>
      </w:r>
      <w:r>
        <w:rPr>
          <w:rFonts w:ascii="Times New Roman" w:hAnsi="Times New Roman"/>
          <w:b w:val="false"/>
          <w:i w:val="false"/>
          <w:color w:val="000000"/>
          <w:sz w:val="24"/>
        </w:rPr>
        <w:t> </w:t>
      </w:r>
      <w:r>
        <w:rPr>
          <w:rFonts w:ascii="Times New Roman" w:hAnsi="Times New Roman"/>
          <w:b w:val="false"/>
          <w:i w:val="false"/>
          <w:color w:val="000000"/>
          <w:sz w:val="24"/>
        </w:rPr>
        <w:t>The workers’ compensation electronic system (WCES) shall not be used for health service dispute matters.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17A.10</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dial-iowa-gov.zoom.us/j/81654334225?pwd=5JUj7K10vOhVPFGUp2QWlyI2imRXx9.1" Type="http://schemas.openxmlformats.org/officeDocument/2006/relationships/hyperlink" Id="rId4"/>
    <Relationship TargetMode="External" Target="mailto:william.grell@dia.iowa.gov" Type="http://schemas.openxmlformats.org/officeDocument/2006/relationships/hyperlink" Id="rId5"/>
    <Relationship TargetMode="External" Target="https://www.legis.iowa.gov/docs/iac/rule/876.2506.64.pdf" Type="http://schemas.openxmlformats.org/officeDocument/2006/relationships/hyperlink" Id="rId6"/>
    <Relationship TargetMode="External" Target="https://www.legis.iowa.gov/docs/ico/chapter/85.27.pdf" Type="http://schemas.openxmlformats.org/officeDocument/2006/relationships/hyperlink" Id="rId7"/>
    <Relationship TargetMode="External" Target="https://www.legis.iowa.gov/docs/iac/rule/876.2506.64.pdf" Type="http://schemas.openxmlformats.org/officeDocument/2006/relationships/hyperlink" Id="rId8"/>
    <Relationship TargetMode="External" Target="https://www.legis.iowa.gov/docs/ico/chapter/87.11.pdf" Type="http://schemas.openxmlformats.org/officeDocument/2006/relationships/hyperlink" Id="rId9"/>
    <Relationship TargetMode="External" Target="https://www.legis.iowa.gov/docs/iac/rule/876.2506.64.pdf" Type="http://schemas.openxmlformats.org/officeDocument/2006/relationships/hyperlink" Id="rId10"/>
    <Relationship TargetMode="External" Target="https://www.legis.iowa.gov/docs/iac/rule/876.10.1.pdf" Type="http://schemas.openxmlformats.org/officeDocument/2006/relationships/hyperlink" Id="rId11"/>
    <Relationship TargetMode="External" Target="https://www.legis.iowa.gov/docs/iac/rule/876.2506.64.pdf" Type="http://schemas.openxmlformats.org/officeDocument/2006/relationships/hyperlink" Id="rId12"/>
    <Relationship TargetMode="External" Target="https://www.legis.iowa.gov/docs/ico/chapter/85.27.pdf" Type="http://schemas.openxmlformats.org/officeDocument/2006/relationships/hyperlink" Id="rId13"/>
    <Relationship TargetMode="External" Target="https://www.legis.iowa.gov/docs/iac/chapter/876.2506.pdf" Type="http://schemas.openxmlformats.org/officeDocument/2006/relationships/hyperlink" Id="rId14"/>
    <Relationship TargetMode="External" Target="https://www.legis.iowa.gov/docs/ico/chapter/10A.310.pdf" Type="http://schemas.openxmlformats.org/officeDocument/2006/relationships/hyperlink" Id="rId15"/>
    <Relationship TargetMode="External" Target="https://www.legis.iowa.gov/docs/ico/chapter/17A.10.pdf" Type="http://schemas.openxmlformats.org/officeDocument/2006/relationships/hyperlink" Id="rId16"/>
    <Relationship TargetMode="External" Target="https://www.legis.iowa.gov/docs/ico/chapter/17A.12.pdf" Type="http://schemas.openxmlformats.org/officeDocument/2006/relationships/hyperlink" Id="rId17"/>
    <Relationship TargetMode="External" Target="https://www.legis.iowa.gov/docs/ico/chapter/85.27.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